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66F72B89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F04A86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58EAC6FD" w14:textId="1DF472C3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F04A86" w:rsidRPr="00F04A86">
        <w:rPr>
          <w:color w:val="000000" w:themeColor="text1"/>
          <w:sz w:val="28"/>
          <w:szCs w:val="28"/>
        </w:rPr>
        <w:t>ПМ.02 Сопровождение и схемотехническое обслуживание интеллектуальных интегрированных систем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0CDF7119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394CEE">
        <w:rPr>
          <w:color w:val="000000" w:themeColor="text1"/>
          <w:sz w:val="28"/>
          <w:szCs w:val="28"/>
        </w:rPr>
        <w:t>3</w:t>
      </w:r>
      <w:r w:rsidR="00F265BA" w:rsidRPr="00341522">
        <w:rPr>
          <w:color w:val="000000" w:themeColor="text1"/>
          <w:sz w:val="28"/>
          <w:szCs w:val="28"/>
        </w:rPr>
        <w:t xml:space="preserve"> курса ____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676783D3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28E2EABE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2D5CD0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5CD0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4CEE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A86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21</cp:revision>
  <cp:lastPrinted>2024-07-18T10:28:00Z</cp:lastPrinted>
  <dcterms:created xsi:type="dcterms:W3CDTF">2024-07-18T08:44:00Z</dcterms:created>
  <dcterms:modified xsi:type="dcterms:W3CDTF">2025-12-03T10:30:00Z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